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37" w:rsidRPr="007F647C" w:rsidRDefault="00E34098" w:rsidP="00D4420B">
      <w:pPr>
        <w:jc w:val="both"/>
        <w:rPr>
          <w:szCs w:val="28"/>
        </w:rPr>
      </w:pPr>
      <w:r w:rsidRPr="007F647C">
        <w:rPr>
          <w:szCs w:val="28"/>
        </w:rPr>
        <w:t>Mallee Track Health and Community Service</w:t>
      </w:r>
      <w:r w:rsidR="00A17DD8" w:rsidRPr="007F647C">
        <w:rPr>
          <w:szCs w:val="28"/>
        </w:rPr>
        <w:t xml:space="preserve"> recognise</w:t>
      </w:r>
      <w:r w:rsidRPr="007F647C">
        <w:rPr>
          <w:szCs w:val="28"/>
        </w:rPr>
        <w:t>s</w:t>
      </w:r>
      <w:r w:rsidR="00A17DD8" w:rsidRPr="007F647C">
        <w:rPr>
          <w:szCs w:val="28"/>
        </w:rPr>
        <w:t xml:space="preserve"> that family violence across the life span is a complex and serious community issue, most commonly experienced by women and their children.</w:t>
      </w:r>
      <w:r w:rsidR="004D70CE">
        <w:rPr>
          <w:szCs w:val="28"/>
        </w:rPr>
        <w:t xml:space="preserve"> </w:t>
      </w:r>
      <w:r w:rsidR="004D70CE" w:rsidRPr="00B16B07">
        <w:rPr>
          <w:szCs w:val="28"/>
        </w:rPr>
        <w:t>Family violence affects all members of society including men and the elderly and occurs in all types of families, regardless of income, profession, educational level or race.</w:t>
      </w:r>
      <w:r w:rsidR="004D70CE">
        <w:rPr>
          <w:szCs w:val="28"/>
        </w:rPr>
        <w:t xml:space="preserve"> </w:t>
      </w:r>
      <w:r w:rsidR="00A17DD8" w:rsidRPr="007F647C">
        <w:rPr>
          <w:szCs w:val="28"/>
        </w:rPr>
        <w:t>It has both immediate and long-term impacts on the physical, psychological and social health and wellbeing of those affected.</w:t>
      </w:r>
    </w:p>
    <w:p w:rsidR="00A17DD8" w:rsidRPr="007F647C" w:rsidRDefault="000F5017" w:rsidP="00D4420B">
      <w:pPr>
        <w:jc w:val="both"/>
        <w:rPr>
          <w:szCs w:val="28"/>
        </w:rPr>
      </w:pPr>
      <w:r w:rsidRPr="007F647C">
        <w:rPr>
          <w:szCs w:val="28"/>
        </w:rPr>
        <w:t>We recognise that f</w:t>
      </w:r>
      <w:r w:rsidR="00E85EF5" w:rsidRPr="007F647C">
        <w:rPr>
          <w:szCs w:val="28"/>
        </w:rPr>
        <w:t xml:space="preserve">amily violence is a health issue, and is Victoria’s largest </w:t>
      </w:r>
      <w:r w:rsidR="00C008C5" w:rsidRPr="007F647C">
        <w:rPr>
          <w:szCs w:val="28"/>
        </w:rPr>
        <w:t xml:space="preserve">preventable </w:t>
      </w:r>
      <w:r w:rsidR="00E85EF5" w:rsidRPr="007F647C">
        <w:rPr>
          <w:szCs w:val="28"/>
        </w:rPr>
        <w:t>cause of early death, disability and illness in women under the age of 45</w:t>
      </w:r>
      <w:r w:rsidR="00BD5302" w:rsidRPr="007F647C">
        <w:rPr>
          <w:rStyle w:val="EndnoteReference"/>
          <w:szCs w:val="28"/>
        </w:rPr>
        <w:endnoteReference w:id="1"/>
      </w:r>
      <w:r w:rsidR="00E85EF5" w:rsidRPr="007F647C">
        <w:rPr>
          <w:szCs w:val="28"/>
        </w:rPr>
        <w:t>. It is also the main contributor to depression and anxiety in women</w:t>
      </w:r>
      <w:r w:rsidR="00796654" w:rsidRPr="007F647C">
        <w:rPr>
          <w:rStyle w:val="EndnoteReference"/>
          <w:szCs w:val="28"/>
        </w:rPr>
        <w:endnoteReference w:id="2"/>
      </w:r>
      <w:r w:rsidR="00E85EF5" w:rsidRPr="007F647C">
        <w:rPr>
          <w:szCs w:val="28"/>
        </w:rPr>
        <w:t xml:space="preserve">. </w:t>
      </w:r>
      <w:r w:rsidRPr="007F647C">
        <w:rPr>
          <w:szCs w:val="28"/>
        </w:rPr>
        <w:t>We acknowledge that o</w:t>
      </w:r>
      <w:r w:rsidR="00E85EF5" w:rsidRPr="007F647C">
        <w:rPr>
          <w:szCs w:val="28"/>
        </w:rPr>
        <w:t>ur region is impacted by family violence</w:t>
      </w:r>
      <w:r w:rsidR="00BD5302" w:rsidRPr="007F647C">
        <w:rPr>
          <w:rStyle w:val="EndnoteReference"/>
          <w:szCs w:val="28"/>
        </w:rPr>
        <w:endnoteReference w:id="3"/>
      </w:r>
      <w:r w:rsidR="00E85EF5" w:rsidRPr="007F647C">
        <w:rPr>
          <w:szCs w:val="28"/>
        </w:rPr>
        <w:t>.</w:t>
      </w:r>
      <w:r w:rsidR="00DD0E65" w:rsidRPr="007F647C">
        <w:rPr>
          <w:szCs w:val="28"/>
        </w:rPr>
        <w:t xml:space="preserve"> </w:t>
      </w:r>
      <w:r w:rsidR="00A17DD8" w:rsidRPr="007F647C">
        <w:rPr>
          <w:szCs w:val="28"/>
        </w:rPr>
        <w:t>As a health service we are in a unique position to identify people at risk, sensitively enquire if we can help, and make referrals to specialist family violence services if required. By doing so we will help to reduce the incidence of family violence and its impact on individuals, families, the community and the health system.</w:t>
      </w:r>
    </w:p>
    <w:p w:rsidR="00A17DD8" w:rsidRPr="007F647C" w:rsidRDefault="00A17DD8" w:rsidP="00D4420B">
      <w:pPr>
        <w:jc w:val="both"/>
        <w:rPr>
          <w:szCs w:val="28"/>
        </w:rPr>
      </w:pPr>
      <w:r w:rsidRPr="007F647C">
        <w:rPr>
          <w:szCs w:val="28"/>
        </w:rPr>
        <w:t>We will support our staff both professionally and personally in relation to family violence to ensure their wellbeing and safety.</w:t>
      </w:r>
    </w:p>
    <w:p w:rsidR="00DD0E65" w:rsidRPr="007F647C" w:rsidRDefault="00B106AA" w:rsidP="00D4420B">
      <w:pPr>
        <w:jc w:val="both"/>
        <w:rPr>
          <w:szCs w:val="28"/>
        </w:rPr>
      </w:pPr>
      <w:r w:rsidRPr="007F647C">
        <w:rPr>
          <w:szCs w:val="28"/>
        </w:rPr>
        <w:t xml:space="preserve">We acknowledge that family violence is predominantly determined and reinforced by gender inequality and that we have a role to play in championing equality across our service and </w:t>
      </w:r>
      <w:r w:rsidR="00DD0E65" w:rsidRPr="007F647C">
        <w:rPr>
          <w:szCs w:val="28"/>
        </w:rPr>
        <w:t>the community</w:t>
      </w:r>
      <w:r w:rsidRPr="007F647C">
        <w:rPr>
          <w:szCs w:val="28"/>
        </w:rPr>
        <w:t>.</w:t>
      </w:r>
    </w:p>
    <w:p w:rsidR="004F1BC0" w:rsidRDefault="00A17DD8" w:rsidP="00D4420B">
      <w:pPr>
        <w:jc w:val="both"/>
        <w:rPr>
          <w:szCs w:val="28"/>
        </w:rPr>
      </w:pPr>
      <w:r w:rsidRPr="007F647C">
        <w:rPr>
          <w:szCs w:val="28"/>
        </w:rPr>
        <w:t>Our vision is a future where our community is free from family violence and where healthy, respectful relations</w:t>
      </w:r>
      <w:r w:rsidR="00E34098" w:rsidRPr="007F647C">
        <w:rPr>
          <w:szCs w:val="28"/>
        </w:rPr>
        <w:t>hips are the norm. As a health service</w:t>
      </w:r>
      <w:r w:rsidRPr="007F647C">
        <w:rPr>
          <w:szCs w:val="28"/>
        </w:rPr>
        <w:t xml:space="preserve"> we can make a significant contribution to achieving this vision and contribute to changing behaviours and community attitudes through our clinical practices, education and advocacy programs.</w:t>
      </w:r>
    </w:p>
    <w:p w:rsidR="004D70CE" w:rsidRDefault="004D70CE" w:rsidP="00D4420B">
      <w:pPr>
        <w:jc w:val="both"/>
        <w:rPr>
          <w:szCs w:val="28"/>
        </w:rPr>
      </w:pPr>
    </w:p>
    <w:p w:rsidR="006C731A" w:rsidRPr="007F647C" w:rsidRDefault="006C731A" w:rsidP="004D70CE">
      <w:pPr>
        <w:jc w:val="center"/>
        <w:rPr>
          <w:szCs w:val="28"/>
        </w:rPr>
      </w:pPr>
      <w:r w:rsidRPr="006C731A">
        <w:rPr>
          <w:noProof/>
          <w:szCs w:val="28"/>
          <w:lang w:eastAsia="en-AU"/>
        </w:rPr>
        <w:drawing>
          <wp:inline distT="0" distB="0" distL="0" distR="0">
            <wp:extent cx="4206184" cy="18364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874" cy="1838031"/>
                    </a:xfrm>
                    <a:prstGeom prst="rect">
                      <a:avLst/>
                    </a:prstGeom>
                    <a:noFill/>
                    <a:ln>
                      <a:noFill/>
                    </a:ln>
                  </pic:spPr>
                </pic:pic>
              </a:graphicData>
            </a:graphic>
          </wp:inline>
        </w:drawing>
      </w:r>
    </w:p>
    <w:sectPr w:rsidR="006C731A" w:rsidRPr="007F647C" w:rsidSect="004D70CE">
      <w:headerReference w:type="default" r:id="rId8"/>
      <w:pgSz w:w="11906" w:h="16838" w:code="9"/>
      <w:pgMar w:top="851" w:right="1361" w:bottom="454" w:left="136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02" w:rsidRDefault="00BD5302" w:rsidP="00BD5302">
      <w:pPr>
        <w:spacing w:after="0" w:line="240" w:lineRule="auto"/>
      </w:pPr>
      <w:r>
        <w:separator/>
      </w:r>
    </w:p>
  </w:endnote>
  <w:endnote w:type="continuationSeparator" w:id="0">
    <w:p w:rsidR="00BD5302" w:rsidRDefault="00BD5302" w:rsidP="00BD5302">
      <w:pPr>
        <w:spacing w:after="0" w:line="240" w:lineRule="auto"/>
      </w:pPr>
      <w:r>
        <w:continuationSeparator/>
      </w:r>
    </w:p>
  </w:endnote>
  <w:endnote w:id="1">
    <w:p w:rsidR="00BD5302" w:rsidRPr="00026AF7" w:rsidRDefault="00BD5302" w:rsidP="00026AF7">
      <w:pPr>
        <w:autoSpaceDE w:val="0"/>
        <w:autoSpaceDN w:val="0"/>
        <w:adjustRightInd w:val="0"/>
        <w:spacing w:after="0" w:line="240" w:lineRule="auto"/>
        <w:rPr>
          <w:rFonts w:ascii="Battersea-LightItalic" w:hAnsi="Battersea-LightItalic" w:cs="Battersea-LightItalic"/>
          <w:i/>
          <w:iCs/>
          <w:sz w:val="14"/>
          <w:szCs w:val="14"/>
        </w:rPr>
      </w:pPr>
      <w:r>
        <w:rPr>
          <w:rStyle w:val="EndnoteReference"/>
        </w:rPr>
        <w:endnoteRef/>
      </w:r>
      <w:r>
        <w:t xml:space="preserve"> </w:t>
      </w:r>
      <w:r>
        <w:rPr>
          <w:rFonts w:ascii="Battersea-LightItalic" w:hAnsi="Battersea-LightItalic" w:cs="Battersea-LightItalic"/>
          <w:i/>
          <w:iCs/>
          <w:sz w:val="14"/>
          <w:szCs w:val="14"/>
        </w:rPr>
        <w:t>Viol</w:t>
      </w:r>
      <w:r w:rsidR="00FB4C8F">
        <w:rPr>
          <w:rFonts w:ascii="Battersea-LightItalic" w:hAnsi="Battersea-LightItalic" w:cs="Battersea-LightItalic"/>
          <w:i/>
          <w:iCs/>
          <w:sz w:val="14"/>
          <w:szCs w:val="14"/>
        </w:rPr>
        <w:t>ence against women in Australia:</w:t>
      </w:r>
      <w:r>
        <w:rPr>
          <w:rFonts w:ascii="Battersea-LightItalic" w:hAnsi="Battersea-LightItalic" w:cs="Battersea-LightItalic"/>
          <w:i/>
          <w:iCs/>
          <w:sz w:val="14"/>
          <w:szCs w:val="14"/>
        </w:rPr>
        <w:t xml:space="preserve"> An overview of research and approaches to primary prevention,</w:t>
      </w:r>
      <w:r w:rsidRPr="007E04C0">
        <w:rPr>
          <w:rFonts w:ascii="Battersea-LightItalic" w:hAnsi="Battersea-LightItalic" w:cs="Battersea-LightItalic"/>
          <w:i/>
          <w:iCs/>
          <w:sz w:val="14"/>
          <w:szCs w:val="14"/>
        </w:rPr>
        <w:t xml:space="preserve"> Victorian Health Promotion Foundation, Melbourne, Australia.</w:t>
      </w:r>
    </w:p>
  </w:endnote>
  <w:endnote w:id="2">
    <w:p w:rsidR="00796654" w:rsidRDefault="00796654" w:rsidP="00026AF7">
      <w:pPr>
        <w:pStyle w:val="EndnoteText"/>
      </w:pPr>
      <w:r>
        <w:rPr>
          <w:rStyle w:val="EndnoteReference"/>
        </w:rPr>
        <w:endnoteRef/>
      </w:r>
      <w:r>
        <w:t xml:space="preserve"> </w:t>
      </w:r>
      <w:r w:rsidRPr="00796654">
        <w:rPr>
          <w:rFonts w:ascii="Battersea-LightItalic" w:hAnsi="Battersea-LightItalic" w:cs="Battersea-LightItalic"/>
          <w:i/>
          <w:iCs/>
          <w:sz w:val="14"/>
          <w:szCs w:val="14"/>
        </w:rPr>
        <w:t>https://services.dhhs.vic.gov.au/family-violence-facts</w:t>
      </w:r>
    </w:p>
  </w:endnote>
  <w:endnote w:id="3">
    <w:p w:rsidR="00BD5302" w:rsidRDefault="00BD5302" w:rsidP="00026AF7">
      <w:pPr>
        <w:autoSpaceDE w:val="0"/>
        <w:autoSpaceDN w:val="0"/>
        <w:adjustRightInd w:val="0"/>
        <w:spacing w:after="0" w:line="240" w:lineRule="auto"/>
        <w:rPr>
          <w:rFonts w:ascii="Battersea-LightItalic" w:hAnsi="Battersea-LightItalic" w:cs="Battersea-LightItalic"/>
          <w:i/>
          <w:iCs/>
          <w:sz w:val="14"/>
          <w:szCs w:val="14"/>
        </w:rPr>
      </w:pPr>
      <w:r>
        <w:rPr>
          <w:rStyle w:val="EndnoteReference"/>
        </w:rPr>
        <w:endnoteRef/>
      </w:r>
      <w:r>
        <w:t xml:space="preserve"> </w:t>
      </w:r>
      <w:hyperlink r:id="rId1" w:history="1">
        <w:r w:rsidR="004D70CE" w:rsidRPr="0079321C">
          <w:rPr>
            <w:rStyle w:val="Hyperlink"/>
            <w:rFonts w:ascii="Battersea-LightItalic" w:hAnsi="Battersea-LightItalic" w:cs="Battersea-LightItalic"/>
            <w:i/>
            <w:iCs/>
            <w:sz w:val="14"/>
            <w:szCs w:val="14"/>
          </w:rPr>
          <w:t>https://www.crimestatistics.vic.gov.au/family-violence-data-portal/download-data-tables</w:t>
        </w:r>
      </w:hyperlink>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bookmarkStart w:id="0" w:name="_GoBack"/>
      <w:bookmarkEnd w:id="0"/>
    </w:p>
    <w:p w:rsidR="004D70CE"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4D70CE" w:rsidRPr="007E04C0" w:rsidRDefault="004D70CE" w:rsidP="00026AF7">
      <w:pPr>
        <w:autoSpaceDE w:val="0"/>
        <w:autoSpaceDN w:val="0"/>
        <w:adjustRightInd w:val="0"/>
        <w:spacing w:after="0" w:line="240" w:lineRule="auto"/>
        <w:rPr>
          <w:rFonts w:ascii="Battersea-LightItalic" w:hAnsi="Battersea-LightItalic" w:cs="Battersea-LightItalic"/>
          <w:i/>
          <w:iCs/>
          <w:sz w:val="14"/>
          <w:szCs w:val="14"/>
        </w:rPr>
      </w:pPr>
    </w:p>
    <w:p w:rsidR="00BD5302" w:rsidRDefault="00BD53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tersea-Light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02" w:rsidRDefault="00BD5302" w:rsidP="00BD5302">
      <w:pPr>
        <w:spacing w:after="0" w:line="240" w:lineRule="auto"/>
      </w:pPr>
      <w:r>
        <w:separator/>
      </w:r>
    </w:p>
  </w:footnote>
  <w:footnote w:type="continuationSeparator" w:id="0">
    <w:p w:rsidR="00BD5302" w:rsidRDefault="00BD5302" w:rsidP="00BD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98" w:rsidRPr="004D70CE" w:rsidRDefault="00E34098" w:rsidP="004D70CE">
    <w:pPr>
      <w:pStyle w:val="Title"/>
      <w:rPr>
        <w:rFonts w:asciiTheme="minorHAnsi" w:hAnsiTheme="minorHAnsi"/>
      </w:rPr>
    </w:pPr>
    <w:r>
      <w:rPr>
        <w:noProof/>
        <w:lang w:eastAsia="en-AU"/>
      </w:rPr>
      <w:drawing>
        <wp:inline distT="0" distB="0" distL="0" distR="0" wp14:anchorId="0FDB05ED" wp14:editId="607F0ABF">
          <wp:extent cx="10001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pic:spPr>
              </pic:pic>
            </a:graphicData>
          </a:graphic>
        </wp:inline>
      </w:drawing>
    </w:r>
    <w:r w:rsidR="004F1BC0">
      <w:rPr>
        <w:rFonts w:asciiTheme="minorHAnsi" w:hAnsiTheme="minorHAnsi"/>
        <w:sz w:val="40"/>
        <w:szCs w:val="40"/>
      </w:rPr>
      <w:t>Position Statement o</w:t>
    </w:r>
    <w:r w:rsidR="004F1BC0" w:rsidRPr="004F1BC0">
      <w:rPr>
        <w:rFonts w:asciiTheme="minorHAnsi" w:hAnsiTheme="minorHAnsi"/>
        <w:sz w:val="40"/>
        <w:szCs w:val="40"/>
      </w:rPr>
      <w:t>n Family Violence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8"/>
    <w:rsid w:val="00026AF7"/>
    <w:rsid w:val="000F5017"/>
    <w:rsid w:val="00147410"/>
    <w:rsid w:val="0022304E"/>
    <w:rsid w:val="004D70CE"/>
    <w:rsid w:val="004F1BC0"/>
    <w:rsid w:val="006C5B71"/>
    <w:rsid w:val="006C731A"/>
    <w:rsid w:val="00751F71"/>
    <w:rsid w:val="00796654"/>
    <w:rsid w:val="007A23D7"/>
    <w:rsid w:val="007E04C0"/>
    <w:rsid w:val="007F647C"/>
    <w:rsid w:val="00A17DD8"/>
    <w:rsid w:val="00B106AA"/>
    <w:rsid w:val="00B16B07"/>
    <w:rsid w:val="00B86237"/>
    <w:rsid w:val="00BD5302"/>
    <w:rsid w:val="00C008C5"/>
    <w:rsid w:val="00C874A8"/>
    <w:rsid w:val="00D4420B"/>
    <w:rsid w:val="00D90248"/>
    <w:rsid w:val="00DD0E65"/>
    <w:rsid w:val="00E34098"/>
    <w:rsid w:val="00E82E8B"/>
    <w:rsid w:val="00E83B91"/>
    <w:rsid w:val="00E85EF5"/>
    <w:rsid w:val="00EC41DB"/>
    <w:rsid w:val="00FB4C8F"/>
    <w:rsid w:val="00FE1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7F7AB"/>
  <w15:docId w15:val="{56B7A922-76DF-47E1-9A25-81602C1C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7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D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17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DD8"/>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BD5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302"/>
    <w:rPr>
      <w:sz w:val="20"/>
      <w:szCs w:val="20"/>
    </w:rPr>
  </w:style>
  <w:style w:type="character" w:styleId="EndnoteReference">
    <w:name w:val="endnote reference"/>
    <w:basedOn w:val="DefaultParagraphFont"/>
    <w:uiPriority w:val="99"/>
    <w:semiHidden/>
    <w:unhideWhenUsed/>
    <w:rsid w:val="00BD5302"/>
    <w:rPr>
      <w:vertAlign w:val="superscript"/>
    </w:rPr>
  </w:style>
  <w:style w:type="paragraph" w:styleId="Header">
    <w:name w:val="header"/>
    <w:basedOn w:val="Normal"/>
    <w:link w:val="HeaderChar"/>
    <w:uiPriority w:val="99"/>
    <w:unhideWhenUsed/>
    <w:rsid w:val="00E34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098"/>
  </w:style>
  <w:style w:type="paragraph" w:styleId="Footer">
    <w:name w:val="footer"/>
    <w:basedOn w:val="Normal"/>
    <w:link w:val="FooterChar"/>
    <w:uiPriority w:val="99"/>
    <w:unhideWhenUsed/>
    <w:rsid w:val="00E34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098"/>
  </w:style>
  <w:style w:type="character" w:styleId="Hyperlink">
    <w:name w:val="Hyperlink"/>
    <w:basedOn w:val="DefaultParagraphFont"/>
    <w:uiPriority w:val="99"/>
    <w:unhideWhenUsed/>
    <w:rsid w:val="004D70CE"/>
    <w:rPr>
      <w:color w:val="0000FF" w:themeColor="hyperlink"/>
      <w:u w:val="single"/>
    </w:rPr>
  </w:style>
  <w:style w:type="paragraph" w:styleId="BalloonText">
    <w:name w:val="Balloon Text"/>
    <w:basedOn w:val="Normal"/>
    <w:link w:val="BalloonTextChar"/>
    <w:uiPriority w:val="99"/>
    <w:semiHidden/>
    <w:unhideWhenUsed/>
    <w:rsid w:val="004D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rimestatistics.vic.gov.au/family-violence-data-portal/download-data-t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61AF-B030-49F7-B686-425E95BC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Ramsay Health Care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Deidre</dc:creator>
  <cp:lastModifiedBy>Pamela Vallance</cp:lastModifiedBy>
  <cp:revision>5</cp:revision>
  <cp:lastPrinted>2018-08-01T22:48:00Z</cp:lastPrinted>
  <dcterms:created xsi:type="dcterms:W3CDTF">2018-08-01T07:09:00Z</dcterms:created>
  <dcterms:modified xsi:type="dcterms:W3CDTF">2018-08-03T00:28:00Z</dcterms:modified>
</cp:coreProperties>
</file>